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EFD" w:rsidRPr="00850EFD" w:rsidRDefault="00850EFD" w:rsidP="00850EFD">
      <w:pPr>
        <w:pStyle w:val="Title"/>
        <w:rPr>
          <w:rFonts w:eastAsia="Times New Roman"/>
        </w:rPr>
      </w:pPr>
      <w:bookmarkStart w:id="0" w:name="_GoBack"/>
      <w:r w:rsidRPr="00850EFD">
        <w:rPr>
          <w:rFonts w:eastAsia="Times New Roman"/>
        </w:rPr>
        <w:t xml:space="preserve">Body Worn Cameras: Setting the Right Storage Policies Today Can Prevent a Future Video Overload </w:t>
      </w:r>
    </w:p>
    <w:bookmarkEnd w:id="0"/>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i/>
          <w:iCs/>
          <w:sz w:val="24"/>
          <w:szCs w:val="24"/>
        </w:rPr>
        <w:t>April 08, 2016</w:t>
      </w:r>
      <w:r w:rsidRPr="00850EFD">
        <w:rPr>
          <w:rFonts w:ascii="Times New Roman" w:eastAsia="Times New Roman" w:hAnsi="Times New Roman" w:cs="Times New Roman"/>
          <w:sz w:val="24"/>
          <w:szCs w:val="24"/>
        </w:rPr>
        <w:t xml:space="preserve">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xml:space="preserve">By: Ted </w:t>
      </w:r>
      <w:proofErr w:type="spellStart"/>
      <w:r w:rsidRPr="00850EFD">
        <w:rPr>
          <w:rFonts w:ascii="Times New Roman" w:eastAsia="Times New Roman" w:hAnsi="Times New Roman" w:cs="Times New Roman"/>
          <w:sz w:val="24"/>
          <w:szCs w:val="24"/>
        </w:rPr>
        <w:t>Hayduk</w:t>
      </w:r>
      <w:proofErr w:type="spellEnd"/>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noProof/>
          <w:sz w:val="24"/>
          <w:szCs w:val="24"/>
        </w:rPr>
        <w:drawing>
          <wp:inline distT="0" distB="0" distL="0" distR="0" wp14:anchorId="6E88F9CE" wp14:editId="2EAC52FD">
            <wp:extent cx="1905000" cy="1943100"/>
            <wp:effectExtent l="0" t="0" r="0" b="0"/>
            <wp:docPr id="1" name="Picture 1" descr="http://www.hstoday.us/uploads/RTEmagicC_Hayduk_Bio_Photo.jpeg.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hstoday.us/uploads/RTEmagicC_Hayduk_Bio_Photo.jpeg.jpe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05000" cy="1943100"/>
                    </a:xfrm>
                    <a:prstGeom prst="rect">
                      <a:avLst/>
                    </a:prstGeom>
                    <a:noFill/>
                    <a:ln>
                      <a:noFill/>
                    </a:ln>
                  </pic:spPr>
                </pic:pic>
              </a:graphicData>
            </a:graphic>
          </wp:inline>
        </w:drawing>
      </w:r>
      <w:r w:rsidRPr="00850EFD">
        <w:rPr>
          <w:rFonts w:ascii="Times New Roman" w:eastAsia="Times New Roman" w:hAnsi="Times New Roman" w:cs="Times New Roman"/>
          <w:sz w:val="24"/>
          <w:szCs w:val="24"/>
        </w:rPr>
        <w:t xml:space="preserve">Across the country, the use of body cameras by law enforcement has rapidly moved from an idea under consideration as a pilot-or-proof of concept, to a tactic in practice— and with good reason. The International Association of Chiefs of Police (IACP) has noted that body worn cameras (BWCs) can help increase officer safety and reducing complaints against officers. BWCs can also reduce court time and the prosecutor’s burden, provide video evidence for use in internal investigations, help improve internal training, reduce liability and frivolous lawsuits, and increase the likelihood of successful prosecution. Body camera usage reached a tipping point following a series of high-profile police-involved incidences in Ferguson, Missouri and Baltimore, Maryland, resulting in a large public reaction and a surge of law enforcement agencies making the decision to outfit their officers with cameras.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xml:space="preserve">While the practice of using BWCs has increased, the policies surrounding their use have been lagging. The Urban Institute recently produced a series of maps illustrating BWC policies across the country. These maps showed that, police departments vary widely in their policies for BWC usage. In some cases, local law enforcement agencies have developed policies that may or may not align with state statute; and in others, state legislatures are scrambling to draft legislations setting policies for cameras already in use.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xml:space="preserve">In implementing BWCs, law enforcement agencies should work to have policies in place from the beginning, rather than creating policy as an afterthought. Proper policies must be set around </w:t>
      </w:r>
      <w:r w:rsidRPr="00850EFD">
        <w:rPr>
          <w:rFonts w:ascii="Times New Roman" w:eastAsia="Times New Roman" w:hAnsi="Times New Roman" w:cs="Times New Roman"/>
          <w:sz w:val="24"/>
          <w:szCs w:val="24"/>
        </w:rPr>
        <w:lastRenderedPageBreak/>
        <w:t xml:space="preserve">not only the use of the camera, but even more importantly, the handling of the video which is captured. Many law enforcement agencies have discovered that the camera portion of a BWC program is relatively simple, inexpensive, and easy to obtain. However, the unexpected stumbling block is the less visible part of the program: the data storage. In order for BWCs to deliver on their full potential, local law enforcement agencies must grapple with a substantial </w:t>
      </w:r>
      <w:proofErr w:type="gramStart"/>
      <w:r w:rsidRPr="00850EFD">
        <w:rPr>
          <w:rFonts w:ascii="Times New Roman" w:eastAsia="Times New Roman" w:hAnsi="Times New Roman" w:cs="Times New Roman"/>
          <w:sz w:val="24"/>
          <w:szCs w:val="24"/>
        </w:rPr>
        <w:t>increase</w:t>
      </w:r>
      <w:proofErr w:type="gramEnd"/>
      <w:r w:rsidRPr="00850EFD">
        <w:rPr>
          <w:rFonts w:ascii="Times New Roman" w:eastAsia="Times New Roman" w:hAnsi="Times New Roman" w:cs="Times New Roman"/>
          <w:sz w:val="24"/>
          <w:szCs w:val="24"/>
        </w:rPr>
        <w:t xml:space="preserve"> in the amount of video data that needs to be processed, stored and accessed for both internal and external use. Storing vast quantities of data produced by hundreds of hours of video footage taken each week presents enormous technological and financial challenges.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xml:space="preserve">Setting the proper controls and policies today can help police departments lay the groundwork for a smooth system going forward. Every law enforcement agency needs to carefully consider how they will use this footage and how they will store and protect it. Here are the top things to consider when determining your agency’s policies around body camera video: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w:t>
      </w:r>
    </w:p>
    <w:p w:rsidR="00850EFD" w:rsidRPr="00850EFD" w:rsidRDefault="00850EFD" w:rsidP="00850EF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xml:space="preserve">How will the video and audio data be downloaded from the camera? </w:t>
      </w:r>
    </w:p>
    <w:p w:rsidR="00850EFD" w:rsidRPr="00850EFD" w:rsidRDefault="00850EFD" w:rsidP="00850EF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xml:space="preserve">How much data will be recorded per officer per shift? </w:t>
      </w:r>
    </w:p>
    <w:p w:rsidR="00850EFD" w:rsidRPr="00850EFD" w:rsidRDefault="00850EFD" w:rsidP="00850EFD">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xml:space="preserve">Where will the data be stored? </w:t>
      </w:r>
    </w:p>
    <w:p w:rsidR="00850EFD" w:rsidRPr="00850EFD" w:rsidRDefault="00850EFD" w:rsidP="00850EFD">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xml:space="preserve">How long will the data be retained for both management and then evidentiary purposes?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b/>
          <w:bCs/>
          <w:sz w:val="24"/>
          <w:szCs w:val="24"/>
        </w:rPr>
        <w:t xml:space="preserve">Access policies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Estimations of how much video data each body camera will produce vary wildly, with some estimates as high as 160 hours of video data per officer, per month. It’s important to understand and test just how much video data a BWC will produce per hour in your environment. Successful implementations range from 792Mbytes per hour to over 2.5GBytes per hour. Bearing in mind that best practices often state that officers should only engage the camera to record public interactions with citizens, those interactions would result in approximately 1.75 to 3 hours of video data recorded per shift. A single small or midsize law enforcement agency can produce hundreds or even thousands of hours of video footage in a single week.</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lastRenderedPageBreak/>
        <w:t xml:space="preserve">The Chula Vista Police Department located in California found that a 30-minute video took about 800MB of storage space. Equipping each of its 200 officers with cameras might generate as much as 33TB of data annually. Bigger municipalities have an even greater challenge. Oakland, California, for example, has 600 officers who are equipped with BWCs that generate 7TB of data per month—the equivalent of 1,500 feature films.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xml:space="preserve">Advanced technology means that cameras are getting less costly to acquire and provision, and that they provide more usable images to apprehend lawbreakers. As a result, agencies are deploying more cameras and are generating significant volumes of data. However, better video resolution, such as HDTV and megapixel cameras, and higher frame rates mean that the volume of video data can easily be greater than the capacity and performance capabilities of a storage infrastructure that was designed for traditional operational needs and not for video data storage.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xml:space="preserve">Most law enforcement agencies hold the individual officer responsible for downloading the video data at the end of the shift. Some law enforcement agencies will decide to treat all video downloads the same, regardless of what the video might have captured during the officer’s term of duty. Other agencies will put more stringent guidelines in place for footage that is likely to contain images of a serious incident. When it comes to establishing agency policy, clear criteria should be established as to who is responsible for physically taking possession of the camera and downloading the video to the storage system. In the past, police departments have traditionally saved videos on CDs or DVDs that are treated as any other piece of evidence would be treated and stored in the police department’s evidence room; however, those videos were largely surveillance or security videos. Today’s rapidly growing use of BWCs has resulted in much more data, and the images and the circumstances under which they were captured within determine how that video will be stored and retained.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b/>
          <w:bCs/>
          <w:sz w:val="24"/>
          <w:szCs w:val="24"/>
        </w:rPr>
        <w:t xml:space="preserve">Storage policies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xml:space="preserve">Once the video files have been retrieved from the camera and downloaded into some sort of evidence management system, law enforcement agencies must consider how to store all of the additional video data. In most cases, routine non-evidentiary video data can be subject to shorter retention times. Most daily footage used for management will be non-evidentiary videos that will play no part in an investigation or prosecution. Videos from these encounters, such as aiding a stranded motorist, will not require long- term storage. Evidentiary footage will need to be stored for longer times, and will often have to adhere to more stringent regulations affecting compliance </w:t>
      </w:r>
      <w:r w:rsidRPr="00850EFD">
        <w:rPr>
          <w:rFonts w:ascii="Times New Roman" w:eastAsia="Times New Roman" w:hAnsi="Times New Roman" w:cs="Times New Roman"/>
          <w:sz w:val="24"/>
          <w:szCs w:val="24"/>
        </w:rPr>
        <w:lastRenderedPageBreak/>
        <w:t xml:space="preserve">and restricted access, making on premises storage a more viable and potentially more affordable option.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xml:space="preserve">All evidence management solutions should meet the policy requirements of the FBI’s Criminal Justice Information Services (CJIS) regulations, which governs law enforcement agencies’ policies to collect and store criminal justice data. CJIS regulations do allow for third parties to provide services for CJIS data for the end user agency </w:t>
      </w:r>
      <w:proofErr w:type="spellStart"/>
      <w:r w:rsidRPr="00850EFD">
        <w:rPr>
          <w:rFonts w:ascii="Times New Roman" w:eastAsia="Times New Roman" w:hAnsi="Times New Roman" w:cs="Times New Roman"/>
          <w:sz w:val="24"/>
          <w:szCs w:val="24"/>
        </w:rPr>
        <w:t>i.e</w:t>
      </w:r>
      <w:proofErr w:type="spellEnd"/>
      <w:r w:rsidRPr="00850EFD">
        <w:rPr>
          <w:rFonts w:ascii="Times New Roman" w:eastAsia="Times New Roman" w:hAnsi="Times New Roman" w:cs="Times New Roman"/>
          <w:sz w:val="24"/>
          <w:szCs w:val="24"/>
        </w:rPr>
        <w:t xml:space="preserve"> Cloud Data Storage. While the cloud can be a perfect solution for some types of data, CJIS data has requirements that lead many police departments to hesitate to put their evidentiary footage into a shared cloud environment. The end user agency is still responsible for the duty of care for the CJIS data throughout its lifecycle no matter who processes and stores that data. Some agencies doubt the secure nature of even an encrypted cloud that is not private and under their direct control.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xml:space="preserve">Many cloud data management solutions do not even meet CJIS certification standards, which ensure protection for the full lifecycle of CJIS data whether it is at rest or in transit. The policy provides guidance for the creation, viewing, modification, transmission, dissemination, storage, and destruction of CJIS data. Law enforcement agencies would be well served to ensure that their cloud evidence management system is CJIS certified. Bear in mind, that the use of third-party storage providers does not relieve agencies of their CJIS data protection responsibilities. Each jurisdiction is still accountable for any third parties’ CJIS data governance, auditability, inspection and compliance, often making it very difficult to manage risk and to accurately predict recurring costs.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b/>
          <w:bCs/>
          <w:sz w:val="24"/>
          <w:szCs w:val="24"/>
        </w:rPr>
        <w:t xml:space="preserve">Retention policies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xml:space="preserve">Evidentiary videos should be separated according to the rules of evidence. The videos surrounding minor infractions, such as routine traffic tickets, do not have to be retained as long as the video from more serious situations, such as on-going investigations or a serious offense like a homicide. This variation in retention times equates to significant cost differentials. Many agencies may also assign a shorter storage retention time for such videos—with the most common retention time for non-evidentiary video for management use between 30 to 90 days--significantly reducing data storage costs. However, again, policies vary widely: the Oakland Police Department retains video for five years. If a video becomes evidence in a court case, the retention requirements can be even longer. Studies have shown that on average less than six percent of stored video is actually used for evidentiary purposes and subjected to long-term evidence storage requirements.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lastRenderedPageBreak/>
        <w:t>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When it comes to measuring the impact of body worn cameras, law enforcement agencies are really only at the beginning of harnessing a technology with tremendous reach. The potential future benefits of BWC video data are even greater than they are today. Forward-looking agencies have plans to put video data to use to help study patterns of behavior, train police officers, establish better relationships with citizens, and possibly to prevent crimes. As state and local governments look to develop their body camera policies, they need to be sure to look beyond the use of the cameras themselves and keep an eye toward defining the parameters for the storage and disposal of all of the video data. Only then, will body cameras be able to live up to their full potential to make us all safer.</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i/>
          <w:iCs/>
          <w:sz w:val="24"/>
          <w:szCs w:val="24"/>
        </w:rPr>
        <w:t xml:space="preserve">Ted </w:t>
      </w:r>
      <w:proofErr w:type="spellStart"/>
      <w:r w:rsidRPr="00850EFD">
        <w:rPr>
          <w:rFonts w:ascii="Times New Roman" w:eastAsia="Times New Roman" w:hAnsi="Times New Roman" w:cs="Times New Roman"/>
          <w:i/>
          <w:iCs/>
          <w:sz w:val="24"/>
          <w:szCs w:val="24"/>
        </w:rPr>
        <w:t>Hayduk</w:t>
      </w:r>
      <w:proofErr w:type="spellEnd"/>
      <w:r w:rsidRPr="00850EFD">
        <w:rPr>
          <w:rFonts w:ascii="Times New Roman" w:eastAsia="Times New Roman" w:hAnsi="Times New Roman" w:cs="Times New Roman"/>
          <w:i/>
          <w:iCs/>
          <w:sz w:val="24"/>
          <w:szCs w:val="24"/>
        </w:rPr>
        <w:t xml:space="preserve"> is Global Consulting Solutions Architect for Video Surveillance for </w:t>
      </w:r>
      <w:hyperlink r:id="rId6" w:tgtFrame="_blank" w:tooltip="Opens external link in new window" w:history="1">
        <w:r w:rsidRPr="00850EFD">
          <w:rPr>
            <w:rFonts w:ascii="Times New Roman" w:eastAsia="Times New Roman" w:hAnsi="Times New Roman" w:cs="Times New Roman"/>
            <w:i/>
            <w:iCs/>
            <w:color w:val="0000FF"/>
            <w:sz w:val="24"/>
            <w:szCs w:val="24"/>
            <w:u w:val="single"/>
          </w:rPr>
          <w:t>NetApp</w:t>
        </w:r>
      </w:hyperlink>
      <w:r w:rsidRPr="00850EFD">
        <w:rPr>
          <w:rFonts w:ascii="Times New Roman" w:eastAsia="Times New Roman" w:hAnsi="Times New Roman" w:cs="Times New Roman"/>
          <w:i/>
          <w:iCs/>
          <w:sz w:val="24"/>
          <w:szCs w:val="24"/>
        </w:rPr>
        <w:t>.</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w:t>
      </w:r>
    </w:p>
    <w:p w:rsidR="00850EFD" w:rsidRPr="00850EFD" w:rsidRDefault="00850EFD" w:rsidP="00850EFD">
      <w:pPr>
        <w:spacing w:before="100" w:beforeAutospacing="1" w:after="100" w:afterAutospacing="1" w:line="240" w:lineRule="auto"/>
        <w:rPr>
          <w:rFonts w:ascii="Times New Roman" w:eastAsia="Times New Roman" w:hAnsi="Times New Roman" w:cs="Times New Roman"/>
          <w:sz w:val="24"/>
          <w:szCs w:val="24"/>
        </w:rPr>
      </w:pPr>
      <w:r w:rsidRPr="00850EFD">
        <w:rPr>
          <w:rFonts w:ascii="Times New Roman" w:eastAsia="Times New Roman" w:hAnsi="Times New Roman" w:cs="Times New Roman"/>
          <w:sz w:val="24"/>
          <w:szCs w:val="24"/>
        </w:rPr>
        <w:t xml:space="preserve">Read more about body worn camera technology in the upcoming May 2016 issue of </w:t>
      </w:r>
      <w:r w:rsidRPr="00850EFD">
        <w:rPr>
          <w:rFonts w:ascii="Times New Roman" w:eastAsia="Times New Roman" w:hAnsi="Times New Roman" w:cs="Times New Roman"/>
          <w:i/>
          <w:iCs/>
          <w:sz w:val="24"/>
          <w:szCs w:val="24"/>
        </w:rPr>
        <w:t>Homeland Security Today</w:t>
      </w:r>
      <w:r w:rsidRPr="00850EFD">
        <w:rPr>
          <w:rFonts w:ascii="Times New Roman" w:eastAsia="Times New Roman" w:hAnsi="Times New Roman" w:cs="Times New Roman"/>
          <w:sz w:val="24"/>
          <w:szCs w:val="24"/>
        </w:rPr>
        <w:t>. </w:t>
      </w:r>
    </w:p>
    <w:p w:rsidR="00150026" w:rsidRDefault="00150026"/>
    <w:sectPr w:rsidR="001500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C14F34"/>
    <w:multiLevelType w:val="multilevel"/>
    <w:tmpl w:val="AD10E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1848F3"/>
    <w:multiLevelType w:val="multilevel"/>
    <w:tmpl w:val="92F09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CA5755B"/>
    <w:multiLevelType w:val="multilevel"/>
    <w:tmpl w:val="CF4E5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E82628B"/>
    <w:multiLevelType w:val="multilevel"/>
    <w:tmpl w:val="5074F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EFD"/>
    <w:rsid w:val="00150026"/>
    <w:rsid w:val="00850E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FBF050-8412-474F-A809-6BB4AAA4F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50EF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0EFD"/>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479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etapp.com/us/"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1554</Words>
  <Characters>8858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LaVonda Fowler</dc:creator>
  <cp:keywords/>
  <dc:description/>
  <cp:lastModifiedBy>LaVonda Fowler</cp:lastModifiedBy>
  <cp:revision>1</cp:revision>
  <dcterms:created xsi:type="dcterms:W3CDTF">2016-07-11T16:25:00Z</dcterms:created>
  <dcterms:modified xsi:type="dcterms:W3CDTF">2016-07-11T16:26:00Z</dcterms:modified>
</cp:coreProperties>
</file>